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33" w:rsidRDefault="00461E67">
      <w:pPr>
        <w:spacing w:before="56" w:line="250" w:lineRule="auto"/>
        <w:ind w:left="2834" w:right="711"/>
        <w:jc w:val="center"/>
        <w:rPr>
          <w:rFonts w:ascii="Arial" w:eastAsia="Arial" w:hAnsi="Arial" w:cs="Arial"/>
          <w:sz w:val="31"/>
          <w:szCs w:val="31"/>
        </w:rPr>
      </w:pPr>
      <w:r>
        <w:pict>
          <v:group id="_x0000_s1046" style="position:absolute;left:0;text-align:left;margin-left:57.5pt;margin-top:4.5pt;width:445.35pt;height:81.85pt;z-index:-251660800;mso-position-horizontal-relative:page" coordorigin="1150,90" coordsize="8907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3274;top:1114;width:6783;height:74">
              <v:imagedata r:id="rId5" o:title=""/>
            </v:shape>
            <v:shape id="_x0000_s1047" type="#_x0000_t75" style="position:absolute;left:1150;top:90;width:2064;height:1637">
              <v:imagedata r:id="rId6" o:title="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31"/>
          <w:szCs w:val="31"/>
        </w:rPr>
        <w:t>U.S.</w:t>
      </w:r>
      <w:r>
        <w:rPr>
          <w:rFonts w:ascii="Arial" w:eastAsia="Arial" w:hAnsi="Arial" w:cs="Arial"/>
          <w:b/>
          <w:bCs/>
          <w:spacing w:val="-2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Environmental</w:t>
      </w:r>
      <w:r>
        <w:rPr>
          <w:rFonts w:ascii="Arial" w:eastAsia="Arial" w:hAnsi="Arial" w:cs="Arial"/>
          <w:b/>
          <w:bCs/>
          <w:spacing w:val="-19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Protection</w:t>
      </w:r>
      <w:r>
        <w:rPr>
          <w:rFonts w:ascii="Arial" w:eastAsia="Arial" w:hAnsi="Arial" w:cs="Arial"/>
          <w:b/>
          <w:bCs/>
          <w:spacing w:val="-19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Agency</w:t>
      </w:r>
      <w:r>
        <w:rPr>
          <w:rFonts w:ascii="Arial" w:eastAsia="Arial" w:hAnsi="Arial" w:cs="Arial"/>
          <w:b/>
          <w:bCs/>
          <w:w w:val="99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Applicability</w:t>
      </w:r>
      <w:r>
        <w:rPr>
          <w:rFonts w:ascii="Arial" w:eastAsia="Arial" w:hAnsi="Arial" w:cs="Arial"/>
          <w:b/>
          <w:bCs/>
          <w:spacing w:val="-2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Determination</w:t>
      </w:r>
      <w:r>
        <w:rPr>
          <w:rFonts w:ascii="Arial" w:eastAsia="Arial" w:hAnsi="Arial" w:cs="Arial"/>
          <w:b/>
          <w:bCs/>
          <w:spacing w:val="-2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Index</w:t>
      </w:r>
    </w:p>
    <w:p w:rsidR="00283D33" w:rsidRDefault="00283D33">
      <w:pPr>
        <w:spacing w:line="200" w:lineRule="exact"/>
        <w:rPr>
          <w:sz w:val="20"/>
          <w:szCs w:val="20"/>
        </w:rPr>
      </w:pPr>
    </w:p>
    <w:p w:rsidR="00283D33" w:rsidRDefault="00283D33">
      <w:pPr>
        <w:spacing w:line="200" w:lineRule="exact"/>
        <w:rPr>
          <w:sz w:val="20"/>
          <w:szCs w:val="20"/>
        </w:rPr>
      </w:pPr>
    </w:p>
    <w:p w:rsidR="00283D33" w:rsidRDefault="00283D33">
      <w:pPr>
        <w:spacing w:line="200" w:lineRule="exact"/>
        <w:rPr>
          <w:sz w:val="20"/>
          <w:szCs w:val="20"/>
        </w:rPr>
      </w:pPr>
    </w:p>
    <w:p w:rsidR="00283D33" w:rsidRDefault="00283D33">
      <w:pPr>
        <w:spacing w:before="6" w:line="260" w:lineRule="exact"/>
        <w:rPr>
          <w:sz w:val="26"/>
          <w:szCs w:val="26"/>
        </w:rPr>
      </w:pPr>
      <w:bookmarkStart w:id="0" w:name="_GoBack"/>
      <w:bookmarkEnd w:id="0"/>
    </w:p>
    <w:p w:rsidR="00283D33" w:rsidRDefault="00461E67">
      <w:pPr>
        <w:ind w:left="2049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Control</w:t>
      </w:r>
      <w:r>
        <w:rPr>
          <w:rFonts w:ascii="Arial" w:eastAsia="Arial" w:hAnsi="Arial" w:cs="Arial"/>
          <w:b/>
          <w:bCs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Number:</w:t>
      </w:r>
      <w:r>
        <w:rPr>
          <w:rFonts w:ascii="Arial" w:eastAsia="Arial" w:hAnsi="Arial" w:cs="Arial"/>
          <w:b/>
          <w:bCs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A930015</w:t>
      </w:r>
    </w:p>
    <w:p w:rsidR="00283D33" w:rsidRDefault="00283D33">
      <w:pPr>
        <w:spacing w:line="200" w:lineRule="exact"/>
        <w:rPr>
          <w:sz w:val="20"/>
          <w:szCs w:val="20"/>
        </w:rPr>
      </w:pPr>
    </w:p>
    <w:p w:rsidR="00283D33" w:rsidRDefault="00283D33">
      <w:pPr>
        <w:spacing w:before="4" w:line="240" w:lineRule="exact"/>
        <w:rPr>
          <w:sz w:val="24"/>
          <w:szCs w:val="24"/>
        </w:rPr>
      </w:pPr>
    </w:p>
    <w:p w:rsidR="00283D33" w:rsidRDefault="00461E67">
      <w:pPr>
        <w:tabs>
          <w:tab w:val="left" w:pos="1658"/>
        </w:tabs>
        <w:spacing w:line="296" w:lineRule="auto"/>
        <w:ind w:left="150" w:right="644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1"/>
        </w:rPr>
        <w:t>Category:</w:t>
      </w:r>
      <w:r>
        <w:rPr>
          <w:rFonts w:ascii="Arial" w:eastAsia="Arial" w:hAnsi="Arial" w:cs="Arial"/>
          <w:b/>
          <w:bCs/>
          <w:position w:val="1"/>
        </w:rPr>
        <w:tab/>
      </w:r>
      <w:r>
        <w:rPr>
          <w:rFonts w:ascii="Arial" w:eastAsia="Arial" w:hAnsi="Arial" w:cs="Arial"/>
        </w:rPr>
        <w:t xml:space="preserve">Asbestos </w:t>
      </w:r>
      <w:r>
        <w:rPr>
          <w:rFonts w:ascii="Arial" w:eastAsia="Arial" w:hAnsi="Arial" w:cs="Arial"/>
          <w:b/>
          <w:bCs/>
          <w:position w:val="1"/>
        </w:rPr>
        <w:t>EPA Office:</w:t>
      </w:r>
      <w:r>
        <w:rPr>
          <w:rFonts w:ascii="Arial" w:eastAsia="Arial" w:hAnsi="Arial" w:cs="Arial"/>
          <w:b/>
          <w:bCs/>
          <w:position w:val="1"/>
        </w:rPr>
        <w:tab/>
      </w:r>
      <w:r>
        <w:rPr>
          <w:rFonts w:ascii="Arial" w:eastAsia="Arial" w:hAnsi="Arial" w:cs="Arial"/>
        </w:rPr>
        <w:t xml:space="preserve">SSCD </w:t>
      </w:r>
      <w:r>
        <w:rPr>
          <w:rFonts w:ascii="Arial" w:eastAsia="Arial" w:hAnsi="Arial" w:cs="Arial"/>
          <w:b/>
          <w:bCs/>
          <w:position w:val="1"/>
        </w:rPr>
        <w:t>Date:</w:t>
      </w:r>
      <w:r>
        <w:rPr>
          <w:rFonts w:ascii="Arial" w:eastAsia="Arial" w:hAnsi="Arial" w:cs="Arial"/>
          <w:b/>
          <w:bCs/>
          <w:position w:val="1"/>
        </w:rPr>
        <w:tab/>
      </w:r>
      <w:r>
        <w:rPr>
          <w:rFonts w:ascii="Arial" w:eastAsia="Arial" w:hAnsi="Arial" w:cs="Arial"/>
        </w:rPr>
        <w:t>03/18/1992</w:t>
      </w:r>
    </w:p>
    <w:p w:rsidR="00283D33" w:rsidRDefault="00461E67">
      <w:pPr>
        <w:pStyle w:val="BodyText"/>
        <w:tabs>
          <w:tab w:val="left" w:pos="1658"/>
        </w:tabs>
        <w:spacing w:before="1"/>
        <w:ind w:left="150"/>
      </w:pPr>
      <w:r>
        <w:rPr>
          <w:rFonts w:cs="Arial"/>
          <w:b/>
          <w:bCs/>
          <w:position w:val="1"/>
        </w:rPr>
        <w:t>Title:</w:t>
      </w:r>
      <w:r>
        <w:rPr>
          <w:rFonts w:cs="Arial"/>
          <w:b/>
          <w:bCs/>
          <w:position w:val="1"/>
        </w:rPr>
        <w:tab/>
      </w:r>
      <w:proofErr w:type="spellStart"/>
      <w:r>
        <w:t>Adequ</w:t>
      </w:r>
      <w:proofErr w:type="spellEnd"/>
      <w:r>
        <w:t xml:space="preserve">. </w:t>
      </w:r>
      <w:proofErr w:type="gramStart"/>
      <w:r>
        <w:t>Wetting Cat.</w:t>
      </w:r>
      <w:proofErr w:type="gramEnd"/>
      <w:r>
        <w:t xml:space="preserve"> I or II </w:t>
      </w:r>
      <w:proofErr w:type="spellStart"/>
      <w:r>
        <w:t>Nonfriable</w:t>
      </w:r>
      <w:proofErr w:type="spellEnd"/>
      <w:r>
        <w:t xml:space="preserve"> ACM</w:t>
      </w:r>
    </w:p>
    <w:p w:rsidR="00283D33" w:rsidRDefault="00461E67">
      <w:pPr>
        <w:tabs>
          <w:tab w:val="left" w:pos="1658"/>
        </w:tabs>
        <w:spacing w:before="61"/>
        <w:ind w:left="1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1"/>
        </w:rPr>
        <w:t>Recipient:</w:t>
      </w:r>
      <w:r>
        <w:rPr>
          <w:rFonts w:ascii="Arial" w:eastAsia="Arial" w:hAnsi="Arial" w:cs="Arial"/>
          <w:b/>
          <w:bCs/>
          <w:position w:val="1"/>
        </w:rPr>
        <w:tab/>
      </w:r>
      <w:proofErr w:type="spellStart"/>
      <w:r>
        <w:rPr>
          <w:rFonts w:ascii="Arial" w:eastAsia="Arial" w:hAnsi="Arial" w:cs="Arial"/>
        </w:rPr>
        <w:t>Bieller</w:t>
      </w:r>
      <w:proofErr w:type="spellEnd"/>
      <w:r>
        <w:rPr>
          <w:rFonts w:ascii="Arial" w:eastAsia="Arial" w:hAnsi="Arial" w:cs="Arial"/>
        </w:rPr>
        <w:t>, Ann</w:t>
      </w:r>
    </w:p>
    <w:p w:rsidR="00283D33" w:rsidRDefault="00461E67">
      <w:pPr>
        <w:tabs>
          <w:tab w:val="left" w:pos="1658"/>
        </w:tabs>
        <w:spacing w:before="61"/>
        <w:ind w:left="1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1"/>
        </w:rPr>
        <w:t>Author:</w:t>
      </w:r>
      <w:r>
        <w:rPr>
          <w:rFonts w:ascii="Arial" w:eastAsia="Arial" w:hAnsi="Arial" w:cs="Arial"/>
          <w:b/>
          <w:bCs/>
          <w:position w:val="1"/>
        </w:rPr>
        <w:tab/>
      </w:r>
      <w:proofErr w:type="spellStart"/>
      <w:r>
        <w:rPr>
          <w:rFonts w:ascii="Arial" w:eastAsia="Arial" w:hAnsi="Arial" w:cs="Arial"/>
        </w:rPr>
        <w:t>Biondi</w:t>
      </w:r>
      <w:proofErr w:type="spellEnd"/>
      <w:r>
        <w:rPr>
          <w:rFonts w:ascii="Arial" w:eastAsia="Arial" w:hAnsi="Arial" w:cs="Arial"/>
        </w:rPr>
        <w:t>, Richard</w:t>
      </w:r>
    </w:p>
    <w:p w:rsidR="00283D33" w:rsidRDefault="00283D33">
      <w:pPr>
        <w:spacing w:line="200" w:lineRule="exact"/>
        <w:rPr>
          <w:sz w:val="20"/>
          <w:szCs w:val="20"/>
        </w:rPr>
      </w:pPr>
    </w:p>
    <w:p w:rsidR="00283D33" w:rsidRDefault="00283D33">
      <w:pPr>
        <w:spacing w:before="5" w:line="240" w:lineRule="exact"/>
        <w:rPr>
          <w:sz w:val="24"/>
          <w:szCs w:val="24"/>
        </w:rPr>
      </w:pPr>
    </w:p>
    <w:p w:rsidR="00283D33" w:rsidRDefault="00461E67">
      <w:pPr>
        <w:tabs>
          <w:tab w:val="left" w:pos="1658"/>
        </w:tabs>
        <w:ind w:left="150"/>
        <w:rPr>
          <w:rFonts w:ascii="Arial" w:eastAsia="Arial" w:hAnsi="Arial" w:cs="Arial"/>
        </w:rPr>
      </w:pPr>
      <w:r>
        <w:pict>
          <v:group id="_x0000_s1041" style="position:absolute;left:0;text-align:left;margin-left:54.95pt;margin-top:-10.8pt;width:450.5pt;height:2.2pt;z-index:-251659776;mso-position-horizontal-relative:page" coordorigin="1099,-216" coordsize="9010,44">
            <v:group id="_x0000_s1044" style="position:absolute;left:1106;top:-209;width:8995;height:29" coordorigin="1106,-209" coordsize="8995,29">
              <v:shape id="_x0000_s1045" style="position:absolute;left:1106;top:-209;width:8995;height:29" coordorigin="1106,-209" coordsize="8995,29" path="m10101,-209r-8995,l1106,-179r15,-15l10086,-194r15,-15xe" fillcolor="#7f7f7f" stroked="f">
                <v:path arrowok="t"/>
              </v:shape>
            </v:group>
            <v:group id="_x0000_s1042" style="position:absolute;left:1106;top:-209;width:8995;height:29" coordorigin="1106,-209" coordsize="8995,29">
              <v:shape id="_x0000_s1043" style="position:absolute;left:1106;top:-209;width:8995;height:29" coordorigin="1106,-209" coordsize="8995,29" path="m10101,-209r-15,15l1121,-194r-15,15l10101,-179r,-30xe" fillcolor="#dfdfdf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position w:val="1"/>
        </w:rPr>
        <w:t>Subparts:</w:t>
      </w:r>
      <w:r>
        <w:rPr>
          <w:rFonts w:ascii="Arial" w:eastAsia="Arial" w:hAnsi="Arial" w:cs="Arial"/>
          <w:b/>
          <w:bCs/>
          <w:position w:val="1"/>
        </w:rPr>
        <w:tab/>
      </w:r>
      <w:r>
        <w:rPr>
          <w:rFonts w:ascii="Arial" w:eastAsia="Arial" w:hAnsi="Arial" w:cs="Arial"/>
        </w:rPr>
        <w:t>Part 61, M, Asbestos</w:t>
      </w:r>
    </w:p>
    <w:p w:rsidR="00283D33" w:rsidRDefault="00283D33">
      <w:pPr>
        <w:spacing w:line="200" w:lineRule="exact"/>
        <w:rPr>
          <w:sz w:val="20"/>
          <w:szCs w:val="20"/>
        </w:rPr>
      </w:pPr>
    </w:p>
    <w:p w:rsidR="00283D33" w:rsidRDefault="00283D33">
      <w:pPr>
        <w:spacing w:before="5" w:line="240" w:lineRule="exact"/>
        <w:rPr>
          <w:sz w:val="24"/>
          <w:szCs w:val="24"/>
        </w:rPr>
      </w:pPr>
    </w:p>
    <w:p w:rsidR="00283D33" w:rsidRDefault="00461E67">
      <w:pPr>
        <w:tabs>
          <w:tab w:val="left" w:pos="1658"/>
        </w:tabs>
        <w:ind w:left="150"/>
        <w:rPr>
          <w:rFonts w:ascii="Arial" w:eastAsia="Arial" w:hAnsi="Arial" w:cs="Arial"/>
        </w:rPr>
      </w:pPr>
      <w:r>
        <w:pict>
          <v:group id="_x0000_s1036" style="position:absolute;left:0;text-align:left;margin-left:54.95pt;margin-top:-10.8pt;width:450.5pt;height:2.2pt;z-index:-251658752;mso-position-horizontal-relative:page" coordorigin="1099,-216" coordsize="9010,44">
            <v:group id="_x0000_s1039" style="position:absolute;left:1106;top:-209;width:8995;height:29" coordorigin="1106,-209" coordsize="8995,29">
              <v:shape id="_x0000_s1040" style="position:absolute;left:1106;top:-209;width:8995;height:29" coordorigin="1106,-209" coordsize="8995,29" path="m10101,-209r-8995,l1106,-179r15,-15l10086,-194r15,-15xe" fillcolor="#7f7f7f" stroked="f">
                <v:path arrowok="t"/>
              </v:shape>
            </v:group>
            <v:group id="_x0000_s1037" style="position:absolute;left:1106;top:-209;width:8995;height:29" coordorigin="1106,-209" coordsize="8995,29">
              <v:shape id="_x0000_s1038" style="position:absolute;left:1106;top:-209;width:8995;height:29" coordorigin="1106,-209" coordsize="8995,29" path="m10101,-209r-15,15l1121,-194r-15,15l10101,-179r,-30xe" fillcolor="#dfdfdf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position w:val="1"/>
        </w:rPr>
        <w:t>References:</w:t>
      </w:r>
      <w:r>
        <w:rPr>
          <w:rFonts w:ascii="Arial" w:eastAsia="Arial" w:hAnsi="Arial" w:cs="Arial"/>
          <w:b/>
          <w:bCs/>
          <w:position w:val="1"/>
        </w:rPr>
        <w:tab/>
      </w:r>
      <w:r>
        <w:rPr>
          <w:rFonts w:ascii="Arial" w:eastAsia="Arial" w:hAnsi="Arial" w:cs="Arial"/>
        </w:rPr>
        <w:t>61.145(c</w:t>
      </w:r>
      <w:proofErr w:type="gramStart"/>
      <w:r>
        <w:rPr>
          <w:rFonts w:ascii="Arial" w:eastAsia="Arial" w:hAnsi="Arial" w:cs="Arial"/>
        </w:rPr>
        <w:t>)(</w:t>
      </w:r>
      <w:proofErr w:type="gramEnd"/>
      <w:r>
        <w:rPr>
          <w:rFonts w:ascii="Arial" w:eastAsia="Arial" w:hAnsi="Arial" w:cs="Arial"/>
        </w:rPr>
        <w:t>1)</w:t>
      </w:r>
    </w:p>
    <w:p w:rsidR="00283D33" w:rsidRDefault="00461E67">
      <w:pPr>
        <w:pStyle w:val="BodyText"/>
        <w:spacing w:before="71"/>
        <w:ind w:left="1658"/>
      </w:pPr>
      <w:r>
        <w:t>61.145(c</w:t>
      </w:r>
      <w:proofErr w:type="gramStart"/>
      <w:r>
        <w:t>)(</w:t>
      </w:r>
      <w:proofErr w:type="gramEnd"/>
      <w:r>
        <w:t>9)</w:t>
      </w:r>
    </w:p>
    <w:p w:rsidR="00283D33" w:rsidRDefault="00461E67">
      <w:pPr>
        <w:pStyle w:val="BodyText"/>
        <w:spacing w:before="71"/>
        <w:ind w:left="1658"/>
      </w:pPr>
      <w:r>
        <w:t>61.150(a</w:t>
      </w:r>
      <w:proofErr w:type="gramStart"/>
      <w:r>
        <w:t>)(</w:t>
      </w:r>
      <w:proofErr w:type="gramEnd"/>
      <w:r>
        <w:t>3)</w:t>
      </w:r>
    </w:p>
    <w:p w:rsidR="00283D33" w:rsidRDefault="00461E67">
      <w:pPr>
        <w:pStyle w:val="BodyText"/>
        <w:spacing w:before="71"/>
        <w:ind w:left="1658"/>
      </w:pPr>
      <w:r>
        <w:t>61.150(a</w:t>
      </w:r>
      <w:proofErr w:type="gramStart"/>
      <w:r>
        <w:t>)(</w:t>
      </w:r>
      <w:proofErr w:type="gramEnd"/>
      <w:r>
        <w:t>5)</w:t>
      </w:r>
    </w:p>
    <w:p w:rsidR="00283D33" w:rsidRDefault="00461E67">
      <w:pPr>
        <w:pStyle w:val="BodyText"/>
        <w:spacing w:before="71"/>
        <w:ind w:left="1658"/>
      </w:pPr>
      <w:r>
        <w:t>61.154</w:t>
      </w:r>
    </w:p>
    <w:p w:rsidR="00283D33" w:rsidRDefault="00461E67">
      <w:pPr>
        <w:pStyle w:val="BodyText"/>
        <w:spacing w:before="71"/>
        <w:ind w:left="1658"/>
      </w:pPr>
      <w:r>
        <w:t>61.155</w:t>
      </w:r>
    </w:p>
    <w:p w:rsidR="00283D33" w:rsidRDefault="00283D33">
      <w:pPr>
        <w:spacing w:line="200" w:lineRule="exact"/>
        <w:rPr>
          <w:sz w:val="20"/>
          <w:szCs w:val="20"/>
        </w:rPr>
      </w:pPr>
    </w:p>
    <w:p w:rsidR="00283D33" w:rsidRDefault="00283D33">
      <w:pPr>
        <w:spacing w:before="5" w:line="200" w:lineRule="exact"/>
        <w:rPr>
          <w:sz w:val="20"/>
          <w:szCs w:val="20"/>
        </w:rPr>
      </w:pPr>
    </w:p>
    <w:p w:rsidR="00283D33" w:rsidRDefault="00461E67">
      <w:pPr>
        <w:pStyle w:val="Heading1"/>
        <w:rPr>
          <w:b w:val="0"/>
          <w:bCs w:val="0"/>
        </w:rPr>
      </w:pPr>
      <w:r>
        <w:pict>
          <v:group id="_x0000_s1031" style="position:absolute;left:0;text-align:left;margin-left:54.95pt;margin-top:-8.8pt;width:450.5pt;height:2.2pt;z-index:-251657728;mso-position-horizontal-relative:page" coordorigin="1099,-176" coordsize="9010,44">
            <v:group id="_x0000_s1034" style="position:absolute;left:1106;top:-169;width:8995;height:29" coordorigin="1106,-169" coordsize="8995,29">
              <v:shape id="_x0000_s1035" style="position:absolute;left:1106;top:-169;width:8995;height:29" coordorigin="1106,-169" coordsize="8995,29" path="m10101,-169r-8995,l1106,-139r15,-15l10086,-154r15,-15xe" fillcolor="#7f7f7f" stroked="f">
                <v:path arrowok="t"/>
              </v:shape>
            </v:group>
            <v:group id="_x0000_s1032" style="position:absolute;left:1106;top:-169;width:8995;height:29" coordorigin="1106,-169" coordsize="8995,29">
              <v:shape id="_x0000_s1033" style="position:absolute;left:1106;top:-169;width:8995;height:29" coordorigin="1106,-169" coordsize="8995,29" path="m10101,-169r-15,15l1121,-154r-15,15l10101,-139r,-30xe" fillcolor="#dfdfdf" stroked="f">
                <v:path arrowok="t"/>
              </v:shape>
            </v:group>
            <w10:wrap anchorx="page"/>
          </v:group>
        </w:pict>
      </w:r>
      <w:r>
        <w:t>Abstract:</w:t>
      </w:r>
    </w:p>
    <w:p w:rsidR="00283D33" w:rsidRDefault="00283D33">
      <w:pPr>
        <w:spacing w:line="200" w:lineRule="exact"/>
        <w:rPr>
          <w:sz w:val="20"/>
          <w:szCs w:val="20"/>
        </w:rPr>
      </w:pPr>
    </w:p>
    <w:p w:rsidR="00283D33" w:rsidRDefault="00283D33">
      <w:pPr>
        <w:spacing w:before="2" w:line="200" w:lineRule="exact"/>
        <w:rPr>
          <w:sz w:val="20"/>
          <w:szCs w:val="20"/>
        </w:rPr>
      </w:pPr>
    </w:p>
    <w:p w:rsidR="00283D33" w:rsidRDefault="00461E67">
      <w:pPr>
        <w:pStyle w:val="BodyText"/>
        <w:spacing w:line="251" w:lineRule="auto"/>
        <w:ind w:right="163"/>
      </w:pPr>
      <w:r>
        <w:t xml:space="preserve">Section 61.150 (a) (3) requires that asbestos-containing waste material be kept adequately wet. </w:t>
      </w:r>
      <w:r>
        <w:t xml:space="preserve">Asbestos-containing waste material as applied to demolitions and renovations includes regulated asbestos-containing waste materials and materials contaminated with asbestos (including disposable equipment and clothing). Category I or Category II </w:t>
      </w:r>
      <w:proofErr w:type="spellStart"/>
      <w:r>
        <w:t>nonfriable</w:t>
      </w:r>
      <w:proofErr w:type="spellEnd"/>
      <w:r>
        <w:t xml:space="preserve"> ACM that has been contaminated by RACM and which cannot be decontaminated (e.g., building debris in a pile contaminated with RACM), must be treated as asbestos-containing waste material.</w:t>
      </w:r>
    </w:p>
    <w:p w:rsidR="00283D33" w:rsidRDefault="00283D33">
      <w:pPr>
        <w:spacing w:line="200" w:lineRule="exact"/>
        <w:rPr>
          <w:sz w:val="20"/>
          <w:szCs w:val="20"/>
        </w:rPr>
      </w:pPr>
    </w:p>
    <w:p w:rsidR="00283D33" w:rsidRDefault="00283D33">
      <w:pPr>
        <w:spacing w:line="200" w:lineRule="exact"/>
        <w:rPr>
          <w:sz w:val="20"/>
          <w:szCs w:val="20"/>
        </w:rPr>
      </w:pPr>
    </w:p>
    <w:p w:rsidR="00283D33" w:rsidRDefault="00283D33">
      <w:pPr>
        <w:spacing w:before="8" w:line="220" w:lineRule="exact"/>
      </w:pPr>
    </w:p>
    <w:p w:rsidR="00283D33" w:rsidRDefault="00461E67">
      <w:pPr>
        <w:pStyle w:val="Heading1"/>
        <w:rPr>
          <w:b w:val="0"/>
          <w:bCs w:val="0"/>
        </w:rPr>
      </w:pPr>
      <w:r>
        <w:pict>
          <v:group id="_x0000_s1026" style="position:absolute;left:0;text-align:left;margin-left:54.95pt;margin-top:-8.8pt;width:450.5pt;height:2.2pt;z-index:-251656704;mso-position-horizontal-relative:page" coordorigin="1099,-176" coordsize="9010,44">
            <v:group id="_x0000_s1029" style="position:absolute;left:1106;top:-169;width:8995;height:29" coordorigin="1106,-169" coordsize="8995,29">
              <v:shape id="_x0000_s1030" style="position:absolute;left:1106;top:-169;width:8995;height:29" coordorigin="1106,-169" coordsize="8995,29" path="m10101,-169r-8995,l1106,-139r15,-15l10086,-154r15,-15xe" fillcolor="#7f7f7f" stroked="f">
                <v:path arrowok="t"/>
              </v:shape>
            </v:group>
            <v:group id="_x0000_s1027" style="position:absolute;left:1106;top:-169;width:8995;height:29" coordorigin="1106,-169" coordsize="8995,29">
              <v:shape id="_x0000_s1028" style="position:absolute;left:1106;top:-169;width:8995;height:29" coordorigin="1106,-169" coordsize="8995,29" path="m10101,-169r-15,15l1121,-154r-15,15l10101,-139r,-30xe" fillcolor="#dfdfdf" stroked="f">
                <v:path arrowok="t"/>
              </v:shape>
            </v:group>
            <w10:wrap anchorx="page"/>
          </v:group>
        </w:pict>
      </w:r>
      <w:r>
        <w:t>Letter:</w:t>
      </w:r>
    </w:p>
    <w:p w:rsidR="00283D33" w:rsidRDefault="00283D33">
      <w:pPr>
        <w:spacing w:line="200" w:lineRule="exact"/>
        <w:rPr>
          <w:sz w:val="20"/>
          <w:szCs w:val="20"/>
        </w:rPr>
      </w:pPr>
    </w:p>
    <w:p w:rsidR="00283D33" w:rsidRDefault="00283D33">
      <w:pPr>
        <w:spacing w:before="2" w:line="200" w:lineRule="exact"/>
        <w:rPr>
          <w:sz w:val="20"/>
          <w:szCs w:val="20"/>
        </w:rPr>
      </w:pPr>
    </w:p>
    <w:p w:rsidR="00283D33" w:rsidRDefault="00461E67">
      <w:pPr>
        <w:pStyle w:val="BodyText"/>
        <w:spacing w:line="251" w:lineRule="auto"/>
        <w:ind w:right="6089"/>
      </w:pPr>
      <w:r>
        <w:t xml:space="preserve">Ms. Ann </w:t>
      </w:r>
      <w:proofErr w:type="spellStart"/>
      <w:r>
        <w:t>Bieller</w:t>
      </w:r>
      <w:proofErr w:type="spellEnd"/>
      <w:r>
        <w:t>, Area Manager Environmental Manage</w:t>
      </w:r>
      <w:r>
        <w:t>ment Southwestern Bell Telephone Procurement Organization</w:t>
      </w:r>
    </w:p>
    <w:p w:rsidR="00283D33" w:rsidRDefault="00461E67">
      <w:pPr>
        <w:pStyle w:val="BodyText"/>
        <w:spacing w:line="251" w:lineRule="auto"/>
        <w:ind w:right="5818"/>
      </w:pPr>
      <w:r>
        <w:lastRenderedPageBreak/>
        <w:t>500 North Broadway, Room 1400 St. Louis, Missouri 63102</w:t>
      </w:r>
    </w:p>
    <w:p w:rsidR="00283D33" w:rsidRDefault="00283D33">
      <w:pPr>
        <w:spacing w:before="1" w:line="280" w:lineRule="exact"/>
        <w:rPr>
          <w:sz w:val="28"/>
          <w:szCs w:val="28"/>
        </w:rPr>
      </w:pPr>
    </w:p>
    <w:p w:rsidR="00283D33" w:rsidRDefault="00461E67">
      <w:pPr>
        <w:pStyle w:val="BodyText"/>
      </w:pPr>
      <w:r>
        <w:t xml:space="preserve">Dear Ms. </w:t>
      </w:r>
      <w:proofErr w:type="spellStart"/>
      <w:r>
        <w:t>Bieller</w:t>
      </w:r>
      <w:proofErr w:type="spellEnd"/>
      <w:r>
        <w:t>:</w:t>
      </w:r>
    </w:p>
    <w:p w:rsidR="00283D33" w:rsidRDefault="00283D33">
      <w:pPr>
        <w:spacing w:before="13" w:line="280" w:lineRule="exact"/>
        <w:rPr>
          <w:sz w:val="28"/>
          <w:szCs w:val="28"/>
        </w:rPr>
      </w:pPr>
    </w:p>
    <w:p w:rsidR="00283D33" w:rsidRDefault="00461E67">
      <w:pPr>
        <w:pStyle w:val="BodyText"/>
        <w:spacing w:line="251" w:lineRule="auto"/>
        <w:ind w:right="126"/>
      </w:pPr>
      <w:r>
        <w:t>This letter is in response to your January 28, 1992 letter requesting a clarification of 40 CFR 61.150(a)(3) as it relates</w:t>
      </w:r>
      <w:r>
        <w:t xml:space="preserve"> to 61.145(c)(1)(</w:t>
      </w:r>
      <w:proofErr w:type="spellStart"/>
      <w:r>
        <w:t>i</w:t>
      </w:r>
      <w:proofErr w:type="spellEnd"/>
      <w:r>
        <w:t>) and (iv), of the Asbestos NESHAP Revision; Final Rule, dated November 20, 1990.</w:t>
      </w:r>
    </w:p>
    <w:p w:rsidR="00283D33" w:rsidRDefault="00283D33">
      <w:pPr>
        <w:spacing w:before="1" w:line="280" w:lineRule="exact"/>
        <w:rPr>
          <w:sz w:val="28"/>
          <w:szCs w:val="28"/>
        </w:rPr>
      </w:pPr>
    </w:p>
    <w:p w:rsidR="00283D33" w:rsidRDefault="00461E67">
      <w:pPr>
        <w:pStyle w:val="BodyText"/>
        <w:spacing w:line="251" w:lineRule="auto"/>
        <w:ind w:right="149"/>
      </w:pPr>
      <w:r>
        <w:t xml:space="preserve">In your letter, you present your understanding that there are no special requirements for adequately wetting Category I or Category II </w:t>
      </w:r>
      <w:proofErr w:type="spellStart"/>
      <w:r>
        <w:t>nonfriable</w:t>
      </w:r>
      <w:proofErr w:type="spellEnd"/>
      <w:r>
        <w:t xml:space="preserve"> asbestos-</w:t>
      </w:r>
      <w:r>
        <w:t>containing material (ACM) during the course of a demolition or renovation if it does not meet the definition of regulated asbestos-containing material (RACM). You also state that this conclusion is further supported by 61.150(a</w:t>
      </w:r>
      <w:proofErr w:type="gramStart"/>
      <w:r>
        <w:t>)(</w:t>
      </w:r>
      <w:proofErr w:type="gramEnd"/>
      <w:r>
        <w:t>5), until 61.150(a)(3) is t</w:t>
      </w:r>
      <w:r>
        <w:t>aken into consideration. Section 61.150(a)(3) requires, "for facilities demolished where RACM is not removed prior to demolition according to 61.145(c)(1)(</w:t>
      </w:r>
      <w:proofErr w:type="spellStart"/>
      <w:r>
        <w:t>i</w:t>
      </w:r>
      <w:proofErr w:type="spellEnd"/>
      <w:r>
        <w:t>),(ii),(iii) and (iv) or for facilities demolished according to 61.145(c)(9), adequately wet asbesto</w:t>
      </w:r>
      <w:r>
        <w:t>s-containing waste material at all times after demolition and keep wet during handling and loading for transport to a disposal site." You question the correctness of the 61.150(a</w:t>
      </w:r>
      <w:proofErr w:type="gramStart"/>
      <w:r>
        <w:t>)(</w:t>
      </w:r>
      <w:proofErr w:type="gramEnd"/>
      <w:r>
        <w:t>3) reference to 61.145(c)(1)(</w:t>
      </w:r>
      <w:proofErr w:type="spellStart"/>
      <w:r>
        <w:t>i</w:t>
      </w:r>
      <w:proofErr w:type="spellEnd"/>
      <w:r>
        <w:t>) and (iv).</w:t>
      </w:r>
    </w:p>
    <w:p w:rsidR="00283D33" w:rsidRDefault="00283D33">
      <w:pPr>
        <w:spacing w:before="1" w:line="280" w:lineRule="exact"/>
        <w:rPr>
          <w:sz w:val="28"/>
          <w:szCs w:val="28"/>
        </w:rPr>
      </w:pPr>
    </w:p>
    <w:p w:rsidR="00283D33" w:rsidRDefault="00461E67">
      <w:pPr>
        <w:pStyle w:val="BodyText"/>
      </w:pPr>
      <w:r>
        <w:t>Section 61.150(a</w:t>
      </w:r>
      <w:proofErr w:type="gramStart"/>
      <w:r>
        <w:t>)(</w:t>
      </w:r>
      <w:proofErr w:type="gramEnd"/>
      <w:r>
        <w:t>3) correctly ci</w:t>
      </w:r>
      <w:r>
        <w:t>tes</w:t>
      </w:r>
    </w:p>
    <w:p w:rsidR="00283D33" w:rsidRDefault="00461E67">
      <w:pPr>
        <w:pStyle w:val="BodyText"/>
        <w:spacing w:before="12" w:line="251" w:lineRule="auto"/>
        <w:ind w:right="149"/>
      </w:pPr>
      <w:r>
        <w:t>61.145(c</w:t>
      </w:r>
      <w:proofErr w:type="gramStart"/>
      <w:r>
        <w:t>)(</w:t>
      </w:r>
      <w:proofErr w:type="gramEnd"/>
      <w:r>
        <w:t>1)(</w:t>
      </w:r>
      <w:proofErr w:type="spellStart"/>
      <w:r>
        <w:t>i</w:t>
      </w:r>
      <w:proofErr w:type="spellEnd"/>
      <w:r>
        <w:t>),(ii),(iii) and (iv). It is required under 61.150(a</w:t>
      </w:r>
      <w:proofErr w:type="gramStart"/>
      <w:r>
        <w:t>)(</w:t>
      </w:r>
      <w:proofErr w:type="gramEnd"/>
      <w:r>
        <w:t>3) that asbestos-containing waste material be kept adequately wet. Asbestos-containing waste material as applied to demolitions and renovations includes RACM waste and materials contam</w:t>
      </w:r>
      <w:r>
        <w:t xml:space="preserve">inated with asbestos including disposable equipment and clothing. Category I or Category II </w:t>
      </w:r>
      <w:proofErr w:type="spellStart"/>
      <w:r>
        <w:t>nonfriable</w:t>
      </w:r>
      <w:proofErr w:type="spellEnd"/>
      <w:r>
        <w:t xml:space="preserve"> ACM that has been contaminated by RACM, and cannot be decontaminated (e.g., building debris in a pile contaminated with RACM) must be treated as asbestos</w:t>
      </w:r>
      <w:r>
        <w:t>-containing waste material. Category I or Category II ACM that does not meet the definition of RACM after a demolition or renovation, and is not contaminated with RACM, is not asbestos- containing waste material and is not subject to the wetting requiremen</w:t>
      </w:r>
      <w:r>
        <w:t>t of 61.150(a)(3).</w:t>
      </w:r>
    </w:p>
    <w:p w:rsidR="00283D33" w:rsidRDefault="00283D33">
      <w:pPr>
        <w:spacing w:before="1" w:line="280" w:lineRule="exact"/>
        <w:rPr>
          <w:sz w:val="28"/>
          <w:szCs w:val="28"/>
        </w:rPr>
      </w:pPr>
    </w:p>
    <w:p w:rsidR="00283D33" w:rsidRDefault="00461E67">
      <w:pPr>
        <w:pStyle w:val="BodyText"/>
      </w:pPr>
      <w:r>
        <w:t>If, after a demolition, material left in the facility</w:t>
      </w:r>
    </w:p>
    <w:p w:rsidR="00283D33" w:rsidRDefault="00461E67">
      <w:pPr>
        <w:pStyle w:val="BodyText"/>
        <w:spacing w:before="12" w:line="251" w:lineRule="auto"/>
        <w:ind w:right="126"/>
      </w:pPr>
      <w:proofErr w:type="gramStart"/>
      <w:r>
        <w:t>according</w:t>
      </w:r>
      <w:proofErr w:type="gramEnd"/>
      <w:r>
        <w:t xml:space="preserve"> to 61.145(c)(1)(</w:t>
      </w:r>
      <w:proofErr w:type="spellStart"/>
      <w:r>
        <w:t>i</w:t>
      </w:r>
      <w:proofErr w:type="spellEnd"/>
      <w:r>
        <w:t>) or (iv) is intentionally ground-up (such as by repeatedly running over the debris with a bulldozer to compact the material), then 61.150(a)(3) applies. T</w:t>
      </w:r>
      <w:r>
        <w:t>he material must be adequately wetted and kept adequately wet during collection and transport to a site or facility operated in accordance with 61.154 or 61.155. However, if the bulldozer is moving the debris or picking it up to be put in a vehicle and ina</w:t>
      </w:r>
      <w:r>
        <w:t>dvertently runs over Category I material, then it is not subject to the NESHAP standard.</w:t>
      </w:r>
    </w:p>
    <w:p w:rsidR="00283D33" w:rsidRDefault="00283D33">
      <w:pPr>
        <w:spacing w:before="1" w:line="280" w:lineRule="exact"/>
        <w:rPr>
          <w:sz w:val="28"/>
          <w:szCs w:val="28"/>
        </w:rPr>
      </w:pPr>
    </w:p>
    <w:p w:rsidR="00283D33" w:rsidRDefault="00461E67">
      <w:pPr>
        <w:pStyle w:val="BodyText"/>
      </w:pPr>
      <w:r>
        <w:t xml:space="preserve">Category I or II </w:t>
      </w:r>
      <w:proofErr w:type="spellStart"/>
      <w:r>
        <w:t>nonfriable</w:t>
      </w:r>
      <w:proofErr w:type="spellEnd"/>
      <w:r>
        <w:t xml:space="preserve"> ACM that is not subject to</w:t>
      </w:r>
    </w:p>
    <w:p w:rsidR="00283D33" w:rsidRDefault="00461E67">
      <w:pPr>
        <w:pStyle w:val="BodyText"/>
        <w:spacing w:before="12" w:line="251" w:lineRule="auto"/>
        <w:ind w:right="249"/>
      </w:pPr>
      <w:r>
        <w:t>61.150(a</w:t>
      </w:r>
      <w:proofErr w:type="gramStart"/>
      <w:r>
        <w:t>)(</w:t>
      </w:r>
      <w:proofErr w:type="gramEnd"/>
      <w:r>
        <w:t xml:space="preserve">3) would still have to be disposed of in a landfill that accepts building debris, in a landfill that </w:t>
      </w:r>
      <w:r>
        <w:t>operates in accordance with 61.154, or at a facility that operates in accordance with 61.155. This waste material would not be allowed to go to any facility that would sand, grind, cut or abrade the non-RACM waste or otherwise turn it into RACM waste (such</w:t>
      </w:r>
      <w:r>
        <w:t xml:space="preserve"> as a cement recycling facility). In addition, if Category I or II </w:t>
      </w:r>
      <w:proofErr w:type="spellStart"/>
      <w:r>
        <w:t>nonfriable</w:t>
      </w:r>
      <w:proofErr w:type="spellEnd"/>
      <w:r>
        <w:t xml:space="preserve"> ACM is sanded, ground, cut or abraded during disposal at a landfill, before it is buried, it is subject to the NESHAP.</w:t>
      </w:r>
    </w:p>
    <w:p w:rsidR="00283D33" w:rsidRDefault="00283D33">
      <w:pPr>
        <w:spacing w:before="1" w:line="280" w:lineRule="exact"/>
        <w:rPr>
          <w:sz w:val="28"/>
          <w:szCs w:val="28"/>
        </w:rPr>
      </w:pPr>
    </w:p>
    <w:p w:rsidR="00283D33" w:rsidRDefault="00461E67">
      <w:pPr>
        <w:pStyle w:val="BodyText"/>
      </w:pPr>
      <w:r>
        <w:t>This response has been coordinated with EPA's Office of</w:t>
      </w:r>
    </w:p>
    <w:p w:rsidR="00283D33" w:rsidRDefault="00461E67">
      <w:pPr>
        <w:pStyle w:val="BodyText"/>
        <w:spacing w:before="12" w:line="251" w:lineRule="auto"/>
        <w:ind w:right="113"/>
      </w:pPr>
      <w:proofErr w:type="gramStart"/>
      <w:r>
        <w:t>En</w:t>
      </w:r>
      <w:r>
        <w:t>forcement and with the Emission Standards Division of the Office of Air Quality Planning and Standards.</w:t>
      </w:r>
      <w:proofErr w:type="gramEnd"/>
      <w:r>
        <w:t xml:space="preserve"> If you have any questions, please contact Tom </w:t>
      </w:r>
      <w:proofErr w:type="spellStart"/>
      <w:r>
        <w:t>Ripp</w:t>
      </w:r>
      <w:proofErr w:type="spellEnd"/>
      <w:r>
        <w:t xml:space="preserve"> of my staff </w:t>
      </w:r>
      <w:r>
        <w:lastRenderedPageBreak/>
        <w:t>at (703)308­ 8727.</w:t>
      </w:r>
    </w:p>
    <w:p w:rsidR="00283D33" w:rsidRDefault="00283D33">
      <w:pPr>
        <w:spacing w:before="1" w:line="280" w:lineRule="exact"/>
        <w:rPr>
          <w:sz w:val="28"/>
          <w:szCs w:val="28"/>
        </w:rPr>
      </w:pPr>
    </w:p>
    <w:p w:rsidR="00283D33" w:rsidRDefault="00461E67">
      <w:pPr>
        <w:pStyle w:val="BodyText"/>
      </w:pPr>
      <w:r>
        <w:t>Sincerely,</w:t>
      </w:r>
    </w:p>
    <w:p w:rsidR="00283D33" w:rsidRDefault="00283D33">
      <w:pPr>
        <w:spacing w:before="13" w:line="280" w:lineRule="exact"/>
        <w:rPr>
          <w:sz w:val="28"/>
          <w:szCs w:val="28"/>
        </w:rPr>
      </w:pPr>
    </w:p>
    <w:p w:rsidR="00283D33" w:rsidRDefault="00461E67">
      <w:pPr>
        <w:pStyle w:val="BodyText"/>
        <w:spacing w:line="251" w:lineRule="auto"/>
        <w:ind w:right="238"/>
      </w:pPr>
      <w:r>
        <w:t xml:space="preserve">Richard </w:t>
      </w:r>
      <w:proofErr w:type="spellStart"/>
      <w:r>
        <w:t>Biondi</w:t>
      </w:r>
      <w:proofErr w:type="spellEnd"/>
      <w:r>
        <w:t xml:space="preserve">, Acting Director Stationary Source </w:t>
      </w:r>
      <w:r>
        <w:t>Compliance Division Office of Air Quality Planning and Standards</w:t>
      </w:r>
    </w:p>
    <w:p w:rsidR="00283D33" w:rsidRDefault="00283D33">
      <w:pPr>
        <w:spacing w:before="1" w:line="280" w:lineRule="exact"/>
        <w:rPr>
          <w:sz w:val="28"/>
          <w:szCs w:val="28"/>
        </w:rPr>
      </w:pPr>
    </w:p>
    <w:p w:rsidR="00283D33" w:rsidRDefault="00461E67">
      <w:pPr>
        <w:pStyle w:val="BodyText"/>
        <w:spacing w:line="251" w:lineRule="auto"/>
        <w:ind w:right="5536"/>
      </w:pPr>
      <w:r>
        <w:t xml:space="preserve">cc: Sims Roy, ESD (MD-13) </w:t>
      </w:r>
      <w:proofErr w:type="spellStart"/>
      <w:r>
        <w:t>Omayra</w:t>
      </w:r>
      <w:proofErr w:type="spellEnd"/>
      <w:r>
        <w:t xml:space="preserve"> Salgado, SSCD (EN-341W) Scott </w:t>
      </w:r>
      <w:proofErr w:type="spellStart"/>
      <w:r>
        <w:t>Throwe</w:t>
      </w:r>
      <w:proofErr w:type="spellEnd"/>
      <w:r>
        <w:t xml:space="preserve">, SSCD (EN-341W) Charlie </w:t>
      </w:r>
      <w:proofErr w:type="spellStart"/>
      <w:r>
        <w:t>Garlow</w:t>
      </w:r>
      <w:proofErr w:type="spellEnd"/>
      <w:r>
        <w:t>, OE (LE-134A)</w:t>
      </w:r>
    </w:p>
    <w:p w:rsidR="00283D33" w:rsidRDefault="00461E67">
      <w:pPr>
        <w:pStyle w:val="BodyText"/>
      </w:pPr>
      <w:r>
        <w:t>Regional Asbestos NESHAP Coordinators</w:t>
      </w:r>
    </w:p>
    <w:sectPr w:rsidR="00283D33" w:rsidSect="00461E67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83D33"/>
    <w:rsid w:val="00283D33"/>
    <w:rsid w:val="0046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Adequ. Wetting Cat. I or II Nonfriable ACM</dc:title>
  <dc:subject>Applicability Determination Index</dc:subject>
  <dc:creator>EPA/SSCD</dc:creator>
  <cp:keywords>Asbestos</cp:keywords>
  <cp:lastModifiedBy>Kurt</cp:lastModifiedBy>
  <cp:revision>3</cp:revision>
  <cp:lastPrinted>2014-03-17T16:32:00Z</cp:lastPrinted>
  <dcterms:created xsi:type="dcterms:W3CDTF">2014-03-17T12:32:00Z</dcterms:created>
  <dcterms:modified xsi:type="dcterms:W3CDTF">2014-03-17T16:33:00Z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2003-01-29T00:00:00Z</vt:filetime>
  </property>
  <property fmtid="{D5CDD505-2E9C-101B-9397-08002B2CF9AE}" pid="3" name="LastSaved">
    <vt:filetime>2014-03-17T00:00:00Z</vt:filetime>
  </property>
</Properties>
</file>